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Negatywne drzewo Dominika Lejmana</w:t>
      </w:r>
    </w:p>
    <w:p>
      <w:pPr>
        <w:pStyle w:val="Treść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Treść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>Przepe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niona postaciami krystalicznych heros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i negatywnych antybohater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narracja mitologiczna doszukuje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malarstwa i rze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by w fenomenie cienia profilu m</w:t>
      </w:r>
      <w:r>
        <w:rPr>
          <w:sz w:val="24"/>
          <w:szCs w:val="24"/>
          <w:rtl w:val="0"/>
        </w:rPr>
        <w:t>ęż</w:t>
      </w:r>
      <w:r>
        <w:rPr>
          <w:sz w:val="24"/>
          <w:szCs w:val="24"/>
          <w:rtl w:val="0"/>
        </w:rPr>
        <w:t>czyzny, obrysowanego na skale przez c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rk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Butadesa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  <w:rtl w:val="0"/>
        </w:rPr>
        <w:t>. Powsta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w ten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forma upami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i niejako uwieczni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osob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ra zmar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nied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ugo po tym wydarzeniu, pozostawiaj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po sobie dwa warianty wizualnych reprezentacji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  <w:rtl w:val="0"/>
        </w:rPr>
        <w:t xml:space="preserve">. Dualizm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i cienia,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 odnale</w:t>
      </w:r>
      <w:r>
        <w:rPr>
          <w:sz w:val="24"/>
          <w:szCs w:val="24"/>
          <w:rtl w:val="0"/>
        </w:rPr>
        <w:t xml:space="preserve">źć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na w historiach wielu 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nych pocz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w, odzwierciedla zarazem do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prymitywn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onno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do ujmowania rzeczywisto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za pomoc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prostych przeciwie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stw, wed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 my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lenia biegunowego, zgodnie z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rym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 powinien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zaprzeczaj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sobie opozycyjnych warto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ci. W dalszej kolejno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 z dualizmem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i cienia, dnia i nocy, a w 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cu nawet fotograficznego pozytywu i negatywu, powi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zano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szereg poj</w:t>
      </w:r>
      <w:r>
        <w:rPr>
          <w:sz w:val="24"/>
          <w:szCs w:val="24"/>
          <w:rtl w:val="0"/>
        </w:rPr>
        <w:t xml:space="preserve">ęć </w:t>
      </w:r>
      <w:r>
        <w:rPr>
          <w:sz w:val="24"/>
          <w:szCs w:val="24"/>
          <w:rtl w:val="0"/>
        </w:rPr>
        <w:t>przeciwstawnych (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ycie/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mier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; dobro/z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o; m</w:t>
      </w:r>
      <w:r>
        <w:rPr>
          <w:sz w:val="24"/>
          <w:szCs w:val="24"/>
          <w:rtl w:val="0"/>
        </w:rPr>
        <w:t>ęż</w:t>
      </w:r>
      <w:r>
        <w:rPr>
          <w:sz w:val="24"/>
          <w:szCs w:val="24"/>
          <w:rtl w:val="0"/>
        </w:rPr>
        <w:t>czyzna/kobieta,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ce/ksi</w:t>
      </w:r>
      <w:r>
        <w:rPr>
          <w:sz w:val="24"/>
          <w:szCs w:val="24"/>
          <w:rtl w:val="0"/>
        </w:rPr>
        <w:t>ęż</w:t>
      </w:r>
      <w:r>
        <w:rPr>
          <w:sz w:val="24"/>
          <w:szCs w:val="24"/>
          <w:rtl w:val="0"/>
        </w:rPr>
        <w:t>yc, kultura/natura). Kwestionuj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naiwno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biegunowego systemu, swoistej szachownicy i manicheistycznej struktury,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czesno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szuka istoty rzeczy w dialektycznej przestrzeni pomi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dzy, podwa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zar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wno jednoznaczno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przeciwstawianych sobie poj</w:t>
      </w:r>
      <w:r>
        <w:rPr>
          <w:sz w:val="24"/>
          <w:szCs w:val="24"/>
          <w:rtl w:val="0"/>
        </w:rPr>
        <w:t>ęć</w:t>
      </w:r>
      <w:r>
        <w:rPr>
          <w:sz w:val="24"/>
          <w:szCs w:val="24"/>
          <w:rtl w:val="0"/>
        </w:rPr>
        <w:t>, jak i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system powi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warto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ciami stoj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cymi po 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dej z przeciwstawnych stron. Projekt Dominika Lejmana </w:t>
      </w:r>
      <w:r>
        <w:rPr>
          <w:i w:val="1"/>
          <w:iCs w:val="1"/>
          <w:sz w:val="24"/>
          <w:szCs w:val="24"/>
          <w:rtl w:val="0"/>
        </w:rPr>
        <w:t>We miss what we miss</w:t>
      </w:r>
      <w:r>
        <w:rPr>
          <w:sz w:val="24"/>
          <w:szCs w:val="24"/>
          <w:rtl w:val="0"/>
        </w:rPr>
        <w:t>, zrealizowany w publicznej przestrzeni Visual Parku nad Jeziorem Strzeszy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skim w Poznaniu stanowi jeden z przyk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artystycznej realizacji,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rej istota wydaje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tkwi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 negacji biegunowych schemat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w.</w:t>
      </w:r>
    </w:p>
    <w:p>
      <w:pPr>
        <w:pStyle w:val="Treść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>Motywem przewodnim pracy Dominika Lejmana 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drzewo,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 widzowie napotykaj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 dwoistej formie; pr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cz rzeczywistego martwego pnia,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 jak kikut naznacza dawn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obecno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monumentalnej ro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liny, 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 drzewa rysuje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ziemi, w postaci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nej (uga</w:t>
      </w:r>
      <w:r>
        <w:rPr>
          <w:sz w:val="24"/>
          <w:szCs w:val="24"/>
          <w:rtl w:val="0"/>
        </w:rPr>
        <w:t>łę</w:t>
      </w:r>
      <w:r>
        <w:rPr>
          <w:sz w:val="24"/>
          <w:szCs w:val="24"/>
          <w:rtl w:val="0"/>
        </w:rPr>
        <w:t>zionej) sylwetki. Tworz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ten nietypowy cie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Lejman pos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niewielkimi, jasnymi kamieniami, 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onymi niczym mozaika na naturalnym pod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u obok pnia. Dodatkowo kamienie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pokryte fosforyzuj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farb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absorbuj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energi</w:t>
      </w:r>
      <w:r>
        <w:rPr>
          <w:sz w:val="24"/>
          <w:szCs w:val="24"/>
          <w:rtl w:val="0"/>
        </w:rPr>
        <w:t>ę ś</w:t>
      </w:r>
      <w:r>
        <w:rPr>
          <w:sz w:val="24"/>
          <w:szCs w:val="24"/>
          <w:rtl w:val="0"/>
        </w:rPr>
        <w:t>wiat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dziennego i 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yskuj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 nocy luminescencyjn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. Powsta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w ten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b struktura nosi znamiona wizualnego oksymoronu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bia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ego i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wiec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cienia. Podobnie jak w Pliniuszowym micie o pocz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tkach sztuki realizacja Lejmana wi</w:t>
      </w:r>
      <w:r>
        <w:rPr>
          <w:sz w:val="24"/>
          <w:szCs w:val="24"/>
          <w:rtl w:val="0"/>
        </w:rPr>
        <w:t>ąż</w:t>
      </w:r>
      <w:r>
        <w:rPr>
          <w:sz w:val="24"/>
          <w:szCs w:val="24"/>
          <w:rtl w:val="0"/>
        </w:rPr>
        <w:t>e martwy, naturalny i przez to pozytywowy (dzienny) obiekt z kulturowym wytworem, negatywowym 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tem ro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liny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artystyczn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realizacj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powsta</w:t>
      </w:r>
      <w:r>
        <w:rPr>
          <w:sz w:val="24"/>
          <w:szCs w:val="24"/>
          <w:rtl w:val="0"/>
        </w:rPr>
        <w:t xml:space="preserve">łą </w:t>
      </w:r>
      <w:r>
        <w:rPr>
          <w:sz w:val="24"/>
          <w:szCs w:val="24"/>
          <w:rtl w:val="0"/>
        </w:rPr>
        <w:t>na granicach malarstwa i  rze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by. Pozornie prosta dychotomia skrywa w sobie jednak dalsze pok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ady nieoczywisto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ci. </w:t>
      </w:r>
    </w:p>
    <w:p>
      <w:pPr>
        <w:pStyle w:val="Treść"/>
        <w:spacing w:line="360" w:lineRule="auto"/>
        <w:rPr>
          <w:sz w:val="24"/>
          <w:szCs w:val="24"/>
        </w:rPr>
      </w:pPr>
    </w:p>
    <w:p>
      <w:pPr>
        <w:pStyle w:val="Treść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Pozytyw/Negatyw</w:t>
      </w:r>
    </w:p>
    <w:p>
      <w:pPr>
        <w:pStyle w:val="Treść"/>
        <w:spacing w:line="360" w:lineRule="auto"/>
        <w:rPr>
          <w:sz w:val="24"/>
          <w:szCs w:val="24"/>
        </w:rPr>
      </w:pPr>
    </w:p>
    <w:p>
      <w:pPr>
        <w:pStyle w:val="Treść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Podobnie jak wspomniane przez Pliniusza malarstwo czy rze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ba, dzieje fotografii rozpoczynaj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od cieni sylwetek martwych, naturalnych obiekt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(li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ci). Brytyjski pionier fotografii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William Henry Fox Talbot w swych pierwszych eksperymentach z lat 30. XIX wieku 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je na 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powierzchni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papieru pokrytego materia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em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oczu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ym. Uzyskane w ten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jasne 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ty na ciemnym tle nazywa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óź</w:t>
      </w:r>
      <w:r>
        <w:rPr>
          <w:sz w:val="24"/>
          <w:szCs w:val="24"/>
          <w:rtl w:val="0"/>
        </w:rPr>
        <w:t xml:space="preserve">niej negatywami;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oczu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 jasne 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ciemnia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pod 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ywem promieni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onecznych, pozostawiaj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po sobie bia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 cienie li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ci, a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jak pisa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Talbot cie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 xml:space="preserve">jest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zwykle ciemny, a w tym przypadku przeciwnie, jest to nazywane w 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zyku fotografii obrazem negatywowym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  <w:rtl w:val="0"/>
        </w:rPr>
        <w:t>. Jak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okazuje owe ujemne (bia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e) cienie rzeczywistych przedmiot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w, a zatem odwrotne wizerunki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wiata przez wielu traktowane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jako nieudane, nieprawdziwe, nieprzydatne i nieprzystaj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do pozytywnego (realistycznego) wyobra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enia o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wiecie. Dlatego te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  <w:lang w:val="de-DE"/>
        </w:rPr>
        <w:t xml:space="preserve">Johann Heinrich Schulze </w:t>
      </w:r>
      <w:r>
        <w:rPr>
          <w:sz w:val="24"/>
          <w:szCs w:val="24"/>
          <w:rtl w:val="0"/>
        </w:rPr>
        <w:t>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ciwy odkrywca chemii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oczu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ej pisa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 trzeciej dekadzie XVIII wieku o swoim rozczarowaniu negatywowym rezultatem</w:t>
      </w:r>
      <w:r>
        <w:rPr>
          <w:sz w:val="24"/>
          <w:szCs w:val="24"/>
          <w:vertAlign w:val="superscript"/>
        </w:rPr>
        <w:footnoteReference w:id="4"/>
      </w:r>
      <w:r>
        <w:rPr>
          <w:sz w:val="24"/>
          <w:szCs w:val="24"/>
          <w:rtl w:val="0"/>
        </w:rPr>
        <w:t>. Odkryt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przez siebie negatywow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reakcj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mianem 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nika ciemno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(</w:t>
      </w:r>
      <w:r>
        <w:rPr>
          <w:sz w:val="24"/>
          <w:szCs w:val="24"/>
          <w:rtl w:val="0"/>
        </w:rPr>
        <w:t>niem.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de-DE"/>
        </w:rPr>
        <w:t>Dunkelheitstr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ger</w:t>
      </w:r>
      <w:r>
        <w:rPr>
          <w:sz w:val="24"/>
          <w:szCs w:val="24"/>
          <w:rtl w:val="0"/>
        </w:rPr>
        <w:t>), podczas gdy jego poszukiwania mia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doprowadzi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go do fosforyzuj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(</w:t>
      </w:r>
      <w:r>
        <w:rPr>
          <w:sz w:val="24"/>
          <w:szCs w:val="24"/>
          <w:rtl w:val="0"/>
        </w:rPr>
        <w:t>niem.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nl-NL"/>
        </w:rPr>
        <w:t>Lichttr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ger</w:t>
      </w:r>
      <w:r>
        <w:rPr>
          <w:sz w:val="24"/>
          <w:szCs w:val="24"/>
          <w:rtl w:val="0"/>
        </w:rPr>
        <w:t>). W tym kontek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cie praca Dominika Lejmana, w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rej fosforyzuj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(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wiec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w nocy) 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 drzewa zdaje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obydwa Schulze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owskie poj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cia,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 z jednej strony ujemnym, negatywowym cieniem, i zarazem energetycznym,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wietlistym zapisem dziennego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a. Podczas gdy w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wietle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onecznym biel sylwetki drzewa zwraca uwag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niekompletno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 xml:space="preserve">ciemnego i martwego pnia, w nocy, gdy brak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onecznego doprowadza do zaniku cieni, ujemne drzewo aktywizuje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promieniuj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energi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zaprzeczaj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ciemno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spowijaj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przestrze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Visual Parku.</w:t>
      </w:r>
    </w:p>
    <w:p>
      <w:pPr>
        <w:pStyle w:val="Treść"/>
        <w:spacing w:line="360" w:lineRule="auto"/>
        <w:rPr>
          <w:sz w:val="24"/>
          <w:szCs w:val="24"/>
        </w:rPr>
      </w:pPr>
    </w:p>
    <w:p>
      <w:pPr>
        <w:pStyle w:val="Treść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Obecno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/Nieobecno</w:t>
      </w:r>
      <w:r>
        <w:rPr>
          <w:sz w:val="24"/>
          <w:szCs w:val="24"/>
          <w:rtl w:val="0"/>
        </w:rPr>
        <w:t>ść</w:t>
      </w:r>
    </w:p>
    <w:p>
      <w:pPr>
        <w:pStyle w:val="Treść"/>
        <w:spacing w:line="360" w:lineRule="auto"/>
        <w:rPr>
          <w:sz w:val="24"/>
          <w:szCs w:val="24"/>
        </w:rPr>
      </w:pPr>
    </w:p>
    <w:p>
      <w:pPr>
        <w:pStyle w:val="Treść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Za spraw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zatrzymania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a, operowania brakiem i pustk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zar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wno negatyw jak i cie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kojarzy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mog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nieobecno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. Obrys profilu na skale wskazuje miejsce gdzie nie ma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postaci, a negatywowy (bia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y) cie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li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cia zarejestrowany na rysunkach fotogenicznych Talbota widoczny jest tam, gdzie </w:t>
      </w:r>
      <w:r>
        <w:rPr>
          <w:b w:val="1"/>
          <w:bCs w:val="1"/>
          <w:sz w:val="24"/>
          <w:szCs w:val="24"/>
          <w:rtl w:val="0"/>
        </w:rPr>
        <w:t>nieobecne</w:t>
      </w:r>
      <w:r>
        <w:rPr>
          <w:sz w:val="24"/>
          <w:szCs w:val="24"/>
          <w:rtl w:val="0"/>
        </w:rPr>
        <w:t xml:space="preserve">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 pozostawi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sw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j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lad w postaci 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otaczaj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obiekt. Z drugiej strony, w tradycyjnym procesie negatywowo-pozytywowym realistyczny wizerunek wt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rnie </w:t>
      </w:r>
      <w:r>
        <w:rPr>
          <w:b w:val="1"/>
          <w:bCs w:val="1"/>
          <w:sz w:val="24"/>
          <w:szCs w:val="24"/>
          <w:rtl w:val="0"/>
        </w:rPr>
        <w:t>uobecnia si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 w momencie wywo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ania pozytywu. Realizacja Dominika Lejmana po raz kolejny komplikuje proste powi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zanie dwoisto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negatywu/pozytywu z nieobecno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/obecno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. Fosforyzuj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cie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poprzez swoj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figuratywno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, kompletno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i w 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cu emanacj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nagromadzonej za dnia energii wydaje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bardziej obecny,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abstrakcyjny i martwy kikut wystaj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cy z ziemi. </w:t>
      </w:r>
      <w:r>
        <w:rPr>
          <w:b w:val="1"/>
          <w:bCs w:val="1"/>
          <w:sz w:val="24"/>
          <w:szCs w:val="24"/>
          <w:rtl w:val="0"/>
        </w:rPr>
        <w:t>Obecno</w:t>
      </w:r>
      <w:r>
        <w:rPr>
          <w:b w:val="1"/>
          <w:bCs w:val="1"/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 xml:space="preserve"> dawnego drzewa zast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puje inna </w:t>
      </w:r>
      <w:r>
        <w:rPr>
          <w:b w:val="1"/>
          <w:bCs w:val="1"/>
          <w:sz w:val="24"/>
          <w:szCs w:val="24"/>
          <w:rtl w:val="0"/>
        </w:rPr>
        <w:t>obecno</w:t>
      </w:r>
      <w:r>
        <w:rPr>
          <w:b w:val="1"/>
          <w:bCs w:val="1"/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</w:rPr>
        <w:t>przedmiotowego i energetycznego cienia. Przywo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any w tym kontek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cie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kikut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nie jest przypadkowym poj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ciem; wystaj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z ziemi pie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wygl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da jak amputowana 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czyna, natomiast zwizualizowany na ziemi 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 drzewa jest niczym b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 fantomowy, naznaczaj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energi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brakuj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fragmenty ro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liny. Podobnie jak rzeczywiste b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le fantomowe,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 nasilaj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wieczorem lub w nocy,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negatywowe drzewo Dominika Lejmana najmocniej promieniuje po zmroku, emituj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 zimne, luminoforowe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o.</w:t>
      </w:r>
    </w:p>
    <w:p>
      <w:pPr>
        <w:pStyle w:val="Treść"/>
        <w:spacing w:line="360" w:lineRule="auto"/>
        <w:rPr>
          <w:sz w:val="24"/>
          <w:szCs w:val="24"/>
        </w:rPr>
      </w:pPr>
    </w:p>
    <w:p>
      <w:pPr>
        <w:pStyle w:val="Treść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ycie/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mier</w:t>
      </w:r>
      <w:r>
        <w:rPr>
          <w:sz w:val="24"/>
          <w:szCs w:val="24"/>
          <w:rtl w:val="0"/>
        </w:rPr>
        <w:t>ć</w:t>
      </w:r>
    </w:p>
    <w:p>
      <w:pPr>
        <w:pStyle w:val="Treść"/>
        <w:spacing w:line="360" w:lineRule="auto"/>
        <w:rPr>
          <w:sz w:val="24"/>
          <w:szCs w:val="24"/>
        </w:rPr>
      </w:pPr>
    </w:p>
    <w:p>
      <w:pPr>
        <w:pStyle w:val="Treść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Tw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rczo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wykorzystuj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ca konwencj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negatywu 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stokro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odnosi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do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mierci. Zar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wno w fotografiach (Hans Bellmer, Van Derren Coke, Franz Roh) jak i filmach (Friedrich Wilhelm Murnau) negatywowe obrazy pojawia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symbolicznie podkre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alternatywn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(po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miertn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rzeczywisto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vertAlign w:val="superscript"/>
        </w:rPr>
        <w:footnoteReference w:id="5"/>
      </w:r>
      <w:r>
        <w:rPr>
          <w:sz w:val="24"/>
          <w:szCs w:val="24"/>
          <w:rtl w:val="0"/>
        </w:rPr>
        <w:t>. W ten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rzeczywista, ziemska i fizyczna obecno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, zast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piona zostaje przez nadrealn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pozaziemsk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i metafizyczn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form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sugeruj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istnienie drugiego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wiata. Podobnie bywa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z samym cieniem,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ry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w literaturze czy sztuce 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sto odnosi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 poj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duszy, a jego brak oznacza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 xml:space="preserve">stan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mierci. Negatywowy cie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drzewa Dominika Lejmana staje si</w:t>
      </w:r>
      <w:r>
        <w:rPr>
          <w:sz w:val="24"/>
          <w:szCs w:val="24"/>
          <w:rtl w:val="0"/>
        </w:rPr>
        <w:t xml:space="preserve">ę </w:t>
      </w:r>
      <w:r>
        <w:rPr>
          <w:i w:val="1"/>
          <w:iCs w:val="1"/>
          <w:sz w:val="24"/>
          <w:szCs w:val="24"/>
          <w:rtl w:val="0"/>
        </w:rPr>
        <w:t>sui generis</w:t>
      </w:r>
      <w:r>
        <w:rPr>
          <w:sz w:val="24"/>
          <w:szCs w:val="24"/>
          <w:rtl w:val="0"/>
        </w:rPr>
        <w:t xml:space="preserve"> sobowt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rem obumar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ej ro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liny,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ry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 xml:space="preserve">znowu niczym w Pliniuszowym micie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nie tylko upami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tnia, ale i reinkarnuje nieistniej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cia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o, oddaj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energi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dnia. Zamiast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 ewokowa</w:t>
      </w:r>
      <w:r>
        <w:rPr>
          <w:sz w:val="24"/>
          <w:szCs w:val="24"/>
          <w:rtl w:val="0"/>
        </w:rPr>
        <w:t>ć ś</w:t>
      </w:r>
      <w:r>
        <w:rPr>
          <w:sz w:val="24"/>
          <w:szCs w:val="24"/>
          <w:rtl w:val="0"/>
        </w:rPr>
        <w:t>mier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, odnosi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do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ycia, cyklicznego promieniowania, odwracaj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te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porz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dek czasowy. O ile bowiem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dzienne coraz silniej na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wietla pokryte fosforyzuj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farb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kamienie, wraz z zapadni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ciem nocy na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adowany energi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 zaczyna emitowa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abn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z czasem. Kojarzona ze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mierci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noc staje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czasem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ycia cienia wyzwalaj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dzienn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energi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.</w:t>
      </w:r>
    </w:p>
    <w:p>
      <w:pPr>
        <w:pStyle w:val="Treść"/>
        <w:spacing w:line="360" w:lineRule="auto"/>
        <w:rPr>
          <w:sz w:val="24"/>
          <w:szCs w:val="24"/>
        </w:rPr>
      </w:pPr>
    </w:p>
    <w:p>
      <w:pPr>
        <w:pStyle w:val="Treść"/>
        <w:spacing w:line="360" w:lineRule="auto"/>
        <w:rPr>
          <w:sz w:val="24"/>
          <w:szCs w:val="24"/>
        </w:rPr>
      </w:pPr>
    </w:p>
    <w:p>
      <w:pPr>
        <w:pStyle w:val="Treść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Figuracja/Abstrakcja</w:t>
      </w:r>
    </w:p>
    <w:p>
      <w:pPr>
        <w:pStyle w:val="Treść"/>
        <w:spacing w:line="360" w:lineRule="auto"/>
        <w:rPr>
          <w:sz w:val="24"/>
          <w:szCs w:val="24"/>
        </w:rPr>
      </w:pPr>
    </w:p>
    <w:p>
      <w:pPr>
        <w:pStyle w:val="Treść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Historia obrazowania przyzwyczai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odbiorc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do wertykalnych przedstawie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drzew; dlatego wyobra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sobie namalowane drzewo 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sto my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limy o pionowym pniu, od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rego rozchodz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ga</w:t>
      </w:r>
      <w:r>
        <w:rPr>
          <w:sz w:val="24"/>
          <w:szCs w:val="24"/>
          <w:rtl w:val="0"/>
        </w:rPr>
        <w:t>łę</w:t>
      </w:r>
      <w:r>
        <w:rPr>
          <w:sz w:val="24"/>
          <w:szCs w:val="24"/>
          <w:rtl w:val="0"/>
        </w:rPr>
        <w:t>zie. Dopiero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zani z awangard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fotografowie szukali nowych perspektyw obserwuj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 z 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ry; w fotografiach Aleksandra Rodczenki czy Umbo figury, postacie i 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ty sprowadzone bywa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sto do abstrakcyjnych plam, obok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rych pojawia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figuratywne i przez to odpowiadaj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naszym wyobra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eniom o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wiecie cienie. W pracy Dominika Lejmana widoczne za dnia drzewo ogranicza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 abstrakcyjnego pnia, od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rego rozchodzi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jasna sylwetka mozaikowej, kamiennej kompozycji. Perspektywa odbioru ulega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 odwr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ceniu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aby zobaczy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drzewo w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nym 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cie najlepiej patrze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 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ry, z lotu ptaka (a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 drona lub satelity); wtedy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 obumar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pie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zmieni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punkt, umieszczony u podstawy bia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ego i figuratywnego cienia, zgodnego z konwencjonalnym wyobra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eniami sylwetek drzew. Jednak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do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wiadczanie fluorescencyjnego obiektu nie ogranicza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a nawet nie pozwala na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ciowy widok z 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ry; przeciwnie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zwiedzaj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Visual Park zmuszeni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 ogl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dania mozaikowego cienia w skr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cie perspektywicznym, ogl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ciej nie tyle ca</w:t>
      </w:r>
      <w:r>
        <w:rPr>
          <w:sz w:val="24"/>
          <w:szCs w:val="24"/>
          <w:rtl w:val="0"/>
        </w:rPr>
        <w:t xml:space="preserve">łą </w:t>
      </w:r>
      <w:r>
        <w:rPr>
          <w:sz w:val="24"/>
          <w:szCs w:val="24"/>
          <w:rtl w:val="0"/>
        </w:rPr>
        <w:t>(figuratywn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) sylwetk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drzewa, co raczej jej niewielkie fragmenty, po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rych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na st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pa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, odczuwaj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nier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pod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a, wypuk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twardych kamieni przechodz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w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kko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ziemi. Chodz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po mozaikowej strukturze widzowie przygl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raczej abstrakcyjnym detalom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ej kompozycji poszukuj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najbardziej fosforyzuj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cych miejsc. </w:t>
      </w:r>
    </w:p>
    <w:p>
      <w:pPr>
        <w:pStyle w:val="Treść"/>
        <w:spacing w:line="360" w:lineRule="auto"/>
        <w:rPr>
          <w:sz w:val="24"/>
          <w:szCs w:val="24"/>
        </w:rPr>
      </w:pPr>
    </w:p>
    <w:p>
      <w:pPr>
        <w:pStyle w:val="Treść"/>
        <w:spacing w:line="360" w:lineRule="auto"/>
        <w:rPr>
          <w:sz w:val="24"/>
          <w:szCs w:val="24"/>
        </w:rPr>
      </w:pPr>
    </w:p>
    <w:p>
      <w:pPr>
        <w:pStyle w:val="Treść"/>
        <w:spacing w:line="360" w:lineRule="auto"/>
        <w:rPr>
          <w:sz w:val="24"/>
          <w:szCs w:val="24"/>
        </w:rPr>
      </w:pPr>
    </w:p>
    <w:p>
      <w:pPr>
        <w:pStyle w:val="Treść"/>
        <w:spacing w:line="360" w:lineRule="auto"/>
        <w:rPr>
          <w:sz w:val="24"/>
          <w:szCs w:val="24"/>
        </w:rPr>
      </w:pPr>
    </w:p>
    <w:p>
      <w:pPr>
        <w:pStyle w:val="Treść"/>
        <w:spacing w:line="360" w:lineRule="auto"/>
        <w:rPr>
          <w:sz w:val="24"/>
          <w:szCs w:val="24"/>
        </w:rPr>
      </w:pPr>
    </w:p>
    <w:p>
      <w:pPr>
        <w:pStyle w:val="Treść"/>
        <w:spacing w:line="360" w:lineRule="auto"/>
        <w:rPr>
          <w:sz w:val="24"/>
          <w:szCs w:val="24"/>
        </w:rPr>
      </w:pPr>
    </w:p>
    <w:p>
      <w:pPr>
        <w:pStyle w:val="Treść"/>
        <w:spacing w:line="360" w:lineRule="auto"/>
      </w:pPr>
      <w:r>
        <w:rPr>
          <w:sz w:val="24"/>
          <w:szCs w:val="24"/>
        </w:rPr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Przypis dolny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Pliniusz Starszy, </w:t>
      </w:r>
      <w:r>
        <w:rPr>
          <w:rFonts w:cs="Arial Unicode MS" w:eastAsia="Arial Unicode MS"/>
          <w:i w:val="1"/>
          <w:iCs w:val="1"/>
          <w:rtl w:val="0"/>
        </w:rPr>
        <w:t>Historia naturalna (Wyb</w:t>
      </w:r>
      <w:r>
        <w:rPr>
          <w:rFonts w:cs="Arial Unicode MS" w:eastAsia="Arial Unicode MS" w:hint="default"/>
          <w:i w:val="1"/>
          <w:iCs w:val="1"/>
          <w:rtl w:val="0"/>
          <w:lang w:val="es-ES_tradnl"/>
        </w:rPr>
        <w:t>ó</w:t>
      </w:r>
      <w:r>
        <w:rPr>
          <w:rFonts w:cs="Arial Unicode MS" w:eastAsia="Arial Unicode MS"/>
          <w:i w:val="1"/>
          <w:iCs w:val="1"/>
          <w:rtl w:val="0"/>
        </w:rPr>
        <w:t>r)</w:t>
      </w:r>
      <w:r>
        <w:rPr>
          <w:rFonts w:cs="Arial Unicode MS" w:eastAsia="Arial Unicode MS"/>
          <w:rtl w:val="0"/>
        </w:rPr>
        <w:t>, prze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I.T.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Zawadzcy, Wroc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aw</w:t>
      </w:r>
      <w:r>
        <w:rPr>
          <w:rFonts w:cs="Arial Unicode MS" w:eastAsia="Arial Unicode MS" w:hint="default"/>
          <w:rtl w:val="0"/>
        </w:rPr>
        <w:t>–</w:t>
      </w:r>
      <w:r>
        <w:rPr>
          <w:rFonts w:cs="Arial Unicode MS" w:eastAsia="Arial Unicode MS"/>
          <w:rtl w:val="0"/>
        </w:rPr>
        <w:t>Krak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 1961, XXXV, par. 16, s.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375, oraz XXXV, par. 151, s.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440.</w:t>
      </w:r>
    </w:p>
  </w:footnote>
  <w:footnote w:id="2">
    <w:p>
      <w:pPr>
        <w:pStyle w:val="Przypis dolny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>Tak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interpretacj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 xml:space="preserve">Pliniuszowego mitu proponuje Victor Stoichita, por. Idem, </w:t>
      </w:r>
      <w:r>
        <w:rPr>
          <w:rFonts w:cs="Arial Unicode MS" w:eastAsia="Arial Unicode MS"/>
          <w:i w:val="1"/>
          <w:iCs w:val="1"/>
          <w:rtl w:val="0"/>
        </w:rPr>
        <w:t>Kr</w:t>
      </w:r>
      <w:r>
        <w:rPr>
          <w:rFonts w:cs="Arial Unicode MS" w:eastAsia="Arial Unicode MS" w:hint="default"/>
          <w:i w:val="1"/>
          <w:iCs w:val="1"/>
          <w:rtl w:val="0"/>
          <w:lang w:val="es-ES_tradnl"/>
        </w:rPr>
        <w:t>ó</w:t>
      </w:r>
      <w:r>
        <w:rPr>
          <w:rFonts w:cs="Arial Unicode MS" w:eastAsia="Arial Unicode MS"/>
          <w:i w:val="1"/>
          <w:iCs w:val="1"/>
          <w:rtl w:val="0"/>
        </w:rPr>
        <w:t>tka historia cienia</w:t>
      </w:r>
      <w:r>
        <w:rPr>
          <w:rFonts w:cs="Arial Unicode MS" w:eastAsia="Arial Unicode MS"/>
          <w:rtl w:val="0"/>
        </w:rPr>
        <w:t>, prze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P.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Nowakowski, Krak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 1997</w:t>
      </w:r>
      <w:r>
        <w:rPr>
          <w:rFonts w:cs="Arial Unicode MS" w:eastAsia="Arial Unicode MS"/>
          <w:rtl w:val="0"/>
        </w:rPr>
        <w:t>, s. 16-19.</w:t>
      </w:r>
    </w:p>
  </w:footnote>
  <w:footnote w:id="3">
    <w:p>
      <w:pPr>
        <w:pStyle w:val="Przypis dolny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  <w:lang w:val="de-DE"/>
        </w:rPr>
        <w:t xml:space="preserve"> W.H.F.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 xml:space="preserve">Talbot, </w:t>
      </w:r>
      <w:r>
        <w:rPr>
          <w:rFonts w:cs="Arial Unicode MS" w:eastAsia="Arial Unicode MS"/>
          <w:i w:val="1"/>
          <w:iCs w:val="1"/>
          <w:rtl w:val="0"/>
          <w:lang w:val="en-US"/>
        </w:rPr>
        <w:t xml:space="preserve">The pencil of nature </w:t>
      </w:r>
      <w:r>
        <w:rPr>
          <w:rFonts w:cs="Arial Unicode MS" w:eastAsia="Arial Unicode MS"/>
          <w:rtl w:val="0"/>
        </w:rPr>
        <w:t>[1844</w:t>
      </w:r>
      <w:r>
        <w:rPr>
          <w:rFonts w:cs="Arial Unicode MS" w:eastAsia="Arial Unicode MS" w:hint="default"/>
          <w:rtl w:val="0"/>
        </w:rPr>
        <w:t>–</w:t>
      </w:r>
      <w:r>
        <w:rPr>
          <w:rFonts w:cs="Arial Unicode MS" w:eastAsia="Arial Unicode MS"/>
          <w:rtl w:val="0"/>
        </w:rPr>
        <w:t>1846], New York 1969, komentarz do planszy XX.</w:t>
      </w:r>
    </w:p>
  </w:footnote>
  <w:footnote w:id="4">
    <w:p>
      <w:pPr>
        <w:pStyle w:val="Przypis dolny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 xml:space="preserve">Por. </w:t>
      </w:r>
      <w:r>
        <w:rPr>
          <w:rFonts w:cs="Arial Unicode MS" w:eastAsia="Arial Unicode MS"/>
          <w:rtl w:val="0"/>
        </w:rPr>
        <w:t>J.M.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de-DE"/>
        </w:rPr>
        <w:t xml:space="preserve">Eder, </w:t>
      </w:r>
      <w:r>
        <w:rPr>
          <w:rFonts w:cs="Arial Unicode MS" w:eastAsia="Arial Unicode MS"/>
          <w:i w:val="1"/>
          <w:iCs w:val="1"/>
          <w:rtl w:val="0"/>
          <w:lang w:val="en-US"/>
        </w:rPr>
        <w:t>History of photography</w:t>
      </w:r>
      <w:r>
        <w:rPr>
          <w:rFonts w:cs="Arial Unicode MS" w:eastAsia="Arial Unicode MS"/>
          <w:rtl w:val="0"/>
        </w:rPr>
        <w:t>, prze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na angielski E.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Epstean, na podstawie czwartego wydania z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1932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roku, New York 1945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/>
          <w:rtl w:val="0"/>
          <w:lang w:val="pt-PT"/>
        </w:rPr>
        <w:t>s.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73.</w:t>
      </w:r>
    </w:p>
  </w:footnote>
  <w:footnote w:id="5">
    <w:p>
      <w:pPr>
        <w:pStyle w:val="Przypis dolny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 xml:space="preserve">Tematyce 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>mierci w fotografiach i filmach wykorzystuj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cych konwencj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negatywu po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>wi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ci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em fragment rozdzia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u VI ksi</w:t>
      </w:r>
      <w:r>
        <w:rPr>
          <w:rFonts w:cs="Arial Unicode MS" w:eastAsia="Arial Unicode MS" w:hint="default"/>
          <w:rtl w:val="0"/>
        </w:rPr>
        <w:t>ąż</w:t>
      </w:r>
      <w:r>
        <w:rPr>
          <w:rFonts w:cs="Arial Unicode MS" w:eastAsia="Arial Unicode MS"/>
          <w:rtl w:val="0"/>
        </w:rPr>
        <w:t xml:space="preserve">ki </w:t>
      </w:r>
      <w:r>
        <w:rPr>
          <w:rFonts w:cs="Arial Unicode MS" w:eastAsia="Arial Unicode MS"/>
          <w:i w:val="1"/>
          <w:iCs w:val="1"/>
          <w:rtl w:val="0"/>
        </w:rPr>
        <w:t>Ujemny biegun fotografii. Negatywowe obrazy w sztuce nowoczesnej</w:t>
      </w:r>
      <w:r>
        <w:rPr>
          <w:rFonts w:cs="Arial Unicode MS" w:eastAsia="Arial Unicode MS"/>
          <w:rtl w:val="0"/>
        </w:rPr>
        <w:t>, Gda</w:t>
      </w:r>
      <w:r>
        <w:rPr>
          <w:rFonts w:cs="Arial Unicode MS" w:eastAsia="Arial Unicode MS" w:hint="default"/>
          <w:rtl w:val="0"/>
        </w:rPr>
        <w:t>ń</w:t>
      </w:r>
      <w:r>
        <w:rPr>
          <w:rFonts w:cs="Arial Unicode MS" w:eastAsia="Arial Unicode MS"/>
          <w:rtl w:val="0"/>
        </w:rPr>
        <w:t>sk 2016.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zypis dolny">
    <w:name w:val="Przypis dolny"/>
    <w:next w:val="Przypis do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